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D46" w:rsidRPr="002A2D46" w:rsidRDefault="002A2D46" w:rsidP="002A2D46">
      <w:pPr>
        <w:tabs>
          <w:tab w:val="left" w:pos="8222"/>
        </w:tabs>
        <w:spacing w:line="254" w:lineRule="auto"/>
        <w:rPr>
          <w:rFonts w:ascii="Academy" w:eastAsia="Academy" w:hAnsi="Academy" w:cs="Academy"/>
          <w:sz w:val="32"/>
          <w:szCs w:val="20"/>
          <w:lang w:val="uk-UA" w:eastAsia="ru-RU"/>
        </w:rPr>
      </w:pPr>
      <w:r w:rsidRPr="002A2D46">
        <w:rPr>
          <w:rFonts w:ascii="Times New Roman" w:eastAsia="Times New Roman" w:hAnsi="Times New Roman" w:cs="Times New Roman"/>
          <w:color w:val="000000"/>
          <w:spacing w:val="-1"/>
          <w:w w:val="126"/>
          <w:sz w:val="28"/>
          <w:szCs w:val="28"/>
          <w:lang w:val="uk-UA" w:eastAsia="ru-RU"/>
        </w:rPr>
        <w:t xml:space="preserve">                                                   </w:t>
      </w:r>
      <w:r w:rsidRPr="002A2D46">
        <w:rPr>
          <w:rFonts w:ascii="Calibri" w:eastAsia="Times New Roman" w:hAnsi="Calibri" w:cs="Times New Roman"/>
          <w:lang w:eastAsia="ru-RU"/>
        </w:rPr>
        <w:object w:dxaOrig="600" w:dyaOrig="885">
          <v:rect id="_x0000_i1025" style="width:29.9pt;height:43.95pt" o:ole="" o:preferrelative="t" stroked="f">
            <v:imagedata r:id="rId5" o:title=""/>
          </v:rect>
          <o:OLEObject Type="Embed" ProgID="StaticMetafile" ShapeID="_x0000_i1025" DrawAspect="Content" ObjectID="_1678541796" r:id="rId6"/>
        </w:object>
      </w:r>
    </w:p>
    <w:p w:rsidR="002A2D46" w:rsidRPr="002A2D46" w:rsidRDefault="002A2D46" w:rsidP="002A2D46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 w:eastAsia="ru-RU"/>
        </w:rPr>
      </w:pPr>
      <w:r w:rsidRPr="002A2D46">
        <w:rPr>
          <w:rFonts w:ascii="Academy" w:eastAsia="Academy" w:hAnsi="Academy" w:cs="Academy"/>
          <w:sz w:val="28"/>
          <w:szCs w:val="28"/>
          <w:lang w:val="uk-UA" w:eastAsia="ru-RU"/>
        </w:rPr>
        <w:t>УКРАЇНА</w:t>
      </w:r>
    </w:p>
    <w:p w:rsidR="002A2D46" w:rsidRPr="002A2D46" w:rsidRDefault="002A2D46" w:rsidP="002A2D46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ФЕДОРІВСЬКА СІЛЬСЬКА РАДА</w:t>
      </w:r>
    </w:p>
    <w:p w:rsidR="002A2D46" w:rsidRPr="002A2D46" w:rsidRDefault="002A2D46" w:rsidP="002A2D46">
      <w:pPr>
        <w:shd w:val="clear" w:color="auto" w:fill="FFFFFF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 xml:space="preserve">ПОЛОГІВСЬКОГО РАЙОНУ </w:t>
      </w:r>
      <w:r w:rsidRPr="002A2D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ЗАПОРІЗЬКОЇ ОБЛАСТІ</w:t>
      </w:r>
    </w:p>
    <w:p w:rsidR="002A2D46" w:rsidRPr="002A2D46" w:rsidRDefault="002A2D46" w:rsidP="002A2D46">
      <w:pPr>
        <w:shd w:val="clear" w:color="auto" w:fill="FFFFFF"/>
        <w:spacing w:after="0" w:line="317" w:lineRule="exact"/>
        <w:ind w:left="3187" w:right="3178" w:firstLine="110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восьмого скликання</w:t>
      </w:r>
    </w:p>
    <w:p w:rsidR="002A2D46" w:rsidRPr="002A2D46" w:rsidRDefault="002A2D46" w:rsidP="002A2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  <w:t>друга сесія</w:t>
      </w:r>
    </w:p>
    <w:p w:rsidR="002A2D46" w:rsidRPr="002A2D46" w:rsidRDefault="002A2D46" w:rsidP="002A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b/>
          <w:color w:val="000000"/>
          <w:spacing w:val="-7"/>
          <w:sz w:val="28"/>
          <w:szCs w:val="28"/>
          <w:lang w:val="uk-UA" w:eastAsia="ru-RU"/>
        </w:rPr>
        <w:t>РІШЕННЯ</w:t>
      </w:r>
    </w:p>
    <w:p w:rsidR="002A2D46" w:rsidRPr="002A2D46" w:rsidRDefault="002A2D46" w:rsidP="002A2D4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val="uk-UA" w:eastAsia="ru-RU"/>
        </w:rPr>
      </w:pPr>
    </w:p>
    <w:p w:rsidR="002A2D46" w:rsidRPr="002A2D46" w:rsidRDefault="002A2D46" w:rsidP="002A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23.12. 2020 року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№ 36</w:t>
      </w:r>
    </w:p>
    <w:p w:rsidR="002A2D46" w:rsidRPr="002A2D46" w:rsidRDefault="002A2D46" w:rsidP="002A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с.Федорівка</w:t>
      </w:r>
      <w:proofErr w:type="spellEnd"/>
    </w:p>
    <w:p w:rsidR="002A2D46" w:rsidRPr="002A2D46" w:rsidRDefault="002A2D46" w:rsidP="002A2D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 «Соціально – економічного розвитку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Федорівської сільської ради» на 2021 рік</w:t>
      </w: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Бюджетного кодексу України, законів України «Про місцеве самоврядування в Україні», «Про благоустрій населених пунктів»,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 запорізької області</w:t>
      </w: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A2D46" w:rsidRPr="002A2D46" w:rsidRDefault="002A2D46" w:rsidP="002A2D46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2A2D4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 ВИРІШИЛА:</w:t>
      </w: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2A2D46" w:rsidRPr="002A2D46" w:rsidRDefault="002A2D46" w:rsidP="002A2D46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1.Затвердити Програму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«Соціально – економічного розвитку</w:t>
      </w: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 сільської ради на 2021 рік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- Програма), що додається.</w:t>
      </w:r>
    </w:p>
    <w:p w:rsidR="002A2D46" w:rsidRPr="002A2D46" w:rsidRDefault="002A2D46" w:rsidP="002A2D46">
      <w:pPr>
        <w:widowControl w:val="0"/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2D46" w:rsidRPr="002A2D46" w:rsidRDefault="002A2D46" w:rsidP="002A2D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Pr="002A2D4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Відділу фінансів</w:t>
      </w: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передбачити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>кошти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>фінансування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</w:t>
      </w: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2021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eastAsia="ru-RU"/>
        </w:rPr>
        <w:t>рік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сумі 2 057 721 грн 00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коп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(два мільйони п‘ятдесят сім тисяч сімсот двадцять одна грн 00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коп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рішення покласти на  постійну комісію з питань фінансів, бюджету, плануванню соціально-економічного розвитку, інвестицій та міжнародного співробітництва.</w:t>
      </w:r>
      <w:r w:rsidRPr="002A2D46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</w:t>
      </w:r>
    </w:p>
    <w:p w:rsidR="002A2D46" w:rsidRPr="002A2D46" w:rsidRDefault="002A2D46" w:rsidP="002A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</w:p>
    <w:p w:rsidR="002A2D46" w:rsidRPr="002A2D46" w:rsidRDefault="002A2D46" w:rsidP="002A2D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</w:pPr>
      <w:r w:rsidRPr="002A2D46">
        <w:rPr>
          <w:rFonts w:ascii="Times New Roman" w:eastAsia="MS Mincho" w:hAnsi="Times New Roman" w:cs="Times New Roman"/>
          <w:bCs/>
          <w:sz w:val="28"/>
          <w:szCs w:val="28"/>
          <w:lang w:val="uk-UA" w:eastAsia="ru-RU"/>
        </w:rPr>
        <w:t>Сільський голова                                                               Володимир ЧЕРНОУС</w:t>
      </w: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  <w:r w:rsidRPr="002A2D46">
        <w:rPr>
          <w:rFonts w:ascii="Calibri" w:eastAsia="Times New Roman" w:hAnsi="Calibri" w:cs="Times New Roman"/>
          <w:lang w:val="uk-UA" w:eastAsia="ru-RU"/>
        </w:rPr>
        <w:t xml:space="preserve"> </w:t>
      </w: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Calibri" w:eastAsia="Times New Roman" w:hAnsi="Calibri" w:cs="Times New Roman"/>
          <w:lang w:val="uk-UA" w:eastAsia="ru-RU"/>
        </w:rPr>
      </w:pPr>
    </w:p>
    <w:p w:rsidR="002A2D46" w:rsidRPr="002A2D46" w:rsidRDefault="002A2D46" w:rsidP="002A2D46">
      <w:pPr>
        <w:tabs>
          <w:tab w:val="left" w:pos="8222"/>
        </w:tabs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2D46">
        <w:rPr>
          <w:rFonts w:ascii="Calibri" w:eastAsia="Times New Roman" w:hAnsi="Calibri" w:cs="Times New Roman"/>
          <w:lang w:val="uk-UA" w:eastAsia="ru-RU"/>
        </w:rPr>
        <w:lastRenderedPageBreak/>
        <w:t xml:space="preserve">                                                                                                                                </w:t>
      </w: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2A2D46" w:rsidRPr="002A2D46" w:rsidRDefault="002A2D46" w:rsidP="002A2D46">
      <w:pPr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ЗАТВЕРДЖЕНО </w:t>
      </w:r>
    </w:p>
    <w:p w:rsidR="002A2D46" w:rsidRPr="002A2D46" w:rsidRDefault="002A2D46" w:rsidP="002A2D4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рішенням Федорівської</w:t>
      </w:r>
    </w:p>
    <w:p w:rsidR="002A2D46" w:rsidRPr="002A2D46" w:rsidRDefault="002A2D46" w:rsidP="002A2D46">
      <w:pPr>
        <w:spacing w:after="0" w:line="240" w:lineRule="auto"/>
        <w:ind w:left="5663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сільської ради </w:t>
      </w:r>
    </w:p>
    <w:p w:rsidR="002A2D46" w:rsidRPr="002A2D46" w:rsidRDefault="002A2D46" w:rsidP="002A2D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 23.12.2020 № 31</w:t>
      </w:r>
    </w:p>
    <w:p w:rsidR="002A2D46" w:rsidRPr="002A2D46" w:rsidRDefault="002A2D46" w:rsidP="002A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</w:t>
      </w:r>
      <w:r w:rsidRPr="002A2D4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ПРОГРАМА</w:t>
      </w:r>
    </w:p>
    <w:p w:rsidR="006B7A9F" w:rsidRDefault="002A2D46" w:rsidP="002A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«Соціально – економічного </w:t>
      </w:r>
      <w:r w:rsidR="006B7A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та культурного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розвитку Федорівської </w:t>
      </w:r>
      <w:r w:rsidR="006B7A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</w:p>
    <w:p w:rsidR="002A2D46" w:rsidRPr="002A2D46" w:rsidRDefault="006B7A9F" w:rsidP="002A2D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сільської ради</w:t>
      </w:r>
      <w:r w:rsidR="002A2D46" w:rsidRP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» на 2021 рік </w:t>
      </w:r>
    </w:p>
    <w:p w:rsidR="002A2D46" w:rsidRPr="002A2D46" w:rsidRDefault="002A2D46" w:rsidP="002A2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2A2D46" w:rsidRPr="002A2D46" w:rsidRDefault="002A2D46" w:rsidP="002A2D46">
      <w:pPr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ОДЕРЖУВАЧ КОШТІВ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</w:t>
      </w:r>
      <w:proofErr w:type="spellStart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2A2D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Запорізької області</w:t>
      </w:r>
    </w:p>
    <w:p w:rsidR="002A2D46" w:rsidRPr="002A2D46" w:rsidRDefault="002A2D46" w:rsidP="002A2D46">
      <w:pPr>
        <w:spacing w:after="0" w:line="240" w:lineRule="auto"/>
        <w:ind w:left="708" w:hanging="708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ФІНАНСУВАННЯ:</w:t>
      </w:r>
      <w:r w:rsidRPr="002A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 рахунок коштів загального фонду та спеціального </w:t>
      </w:r>
    </w:p>
    <w:p w:rsidR="002A2D46" w:rsidRPr="002A2D46" w:rsidRDefault="002A2D46" w:rsidP="002A2D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A2D4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фонду (бюджету розвитку) місцевого бюджету</w:t>
      </w:r>
    </w:p>
    <w:p w:rsidR="002A2D46" w:rsidRDefault="002A2D46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3707" w:rsidRPr="00C15C19" w:rsidRDefault="009E3707" w:rsidP="009E37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І. Соціально-економічний стан розвитку громади  у 2021 році</w:t>
      </w:r>
    </w:p>
    <w:p w:rsidR="009E3707" w:rsidRDefault="009E3707" w:rsidP="009E3707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   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об’єднана територіальна громада Пологівського району Запорізької області утворилася 31 липня 2019 року в результаті об’єднання</w:t>
      </w:r>
      <w:r w:rsidRPr="00C15C19">
        <w:rPr>
          <w:rFonts w:ascii="Times New Roman" w:eastAsia="Calibri" w:hAnsi="Times New Roman" w:cs="Times New Roman"/>
          <w:color w:val="00000A"/>
          <w:sz w:val="28"/>
          <w:szCs w:val="28"/>
          <w:lang w:val="uk-UA"/>
        </w:rPr>
        <w:t xml:space="preserve"> територіальних громад </w:t>
      </w:r>
      <w:bookmarkStart w:id="0" w:name="_Hlk13833043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 Федорівка, Балочки, Бурлацьке, Золота Поляна,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Красноселівка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Тернове, Хліборобне, Чкалова Федорівської сільської ради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Пологівського району Запорізької області та </w:t>
      </w:r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сіл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Новоселівка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Межиріч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Шевченка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Новоселівської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 Пологівського району Запорізької області відповідно до Рішення №1 сорок дев’ятої позачергової сесії сьомого скликання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сіьської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ради </w:t>
      </w:r>
      <w:proofErr w:type="spellStart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Пологівського</w:t>
      </w:r>
      <w:proofErr w:type="spellEnd"/>
      <w:r w:rsidRPr="00C15C1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району Запорізької області.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старостинський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округ на території Федорівської сільської ради був утворений згідно Рішення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від 17.01.2020 року сесії Федорівської сільської ради. Адміністративний центр громади- село Федорівка розташоване на відстані 40 км. від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м.Пологи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Села Федорівської сільської об’єднаної територіальної громади з’єднані дорогами з твердим покриттям. 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Загальна територія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ОТГ -27094.1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кв.м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наявне населення-3042.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Галузь сільського  господарства представлена сільськогосподарськими  підприємствами -ТОВ «АФ «Батьківщина»,</w:t>
      </w:r>
      <w:r w:rsidRPr="00C15C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 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Агрофірма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ім.Шевченка</w:t>
      </w:r>
      <w:proofErr w:type="spellEnd"/>
      <w:r w:rsidRPr="00C15C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15C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 «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АгроДар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 ТОВ «Пологи Агро Плюс»</w:t>
      </w:r>
      <w:r w:rsidRPr="00C15C19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43-ма фермерськими  господарствами.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території сільської ради працюють 3 поштові відділення,  12 магазинів, в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с.Федорівка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знаходиться електропідстанція .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Лікувально-медичну допомогу населенню сільської ради надає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амбулаторія загальної практики сімейної медицини комунальної установи «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первинної медико-санітарної допомоги»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Пологівської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районної ради Запорізької області,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Балочківський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ФАП,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ФАП та КМП «ТМО «Обласний центр екстреної медичної допомоги та медицини катастроф» ЗОР. 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У селі Федорівка працює загальноосвітня шко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ла І-ІІІ ступенів 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 приміщенні школи розміщена музична школа. У  селі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працює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Новоселівська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загальноосвітня школа І-ІІІ ступенів, де навчається 88</w:t>
      </w:r>
      <w:r w:rsidRPr="00C15C1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учнів.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ОТГ фінансує Програму з підвозу учнів та вчителів до школи. 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села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Федорівка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працює 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 професійної освіти   де навчаються 150 учнів  та працює 18  педагогів.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У комунальній власності громади знаходяться такі заклади: 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в приміщенні якого розміщено музей;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Новоселівський</w:t>
      </w:r>
      <w:proofErr w:type="spellEnd"/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культури;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 сільські бібліотеки;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-КП «Благоустрій»;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-КДНЗ Я-С  «Веселка», який відвідує 39 дітей та працює 17 працівників;</w:t>
      </w:r>
    </w:p>
    <w:p w:rsidR="009E3707" w:rsidRPr="00C15C19" w:rsidRDefault="009E3707" w:rsidP="009E37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5C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-КДНЗ Я-С «Росинка», який відвідує 24 дітей та працює 6 працівників. </w:t>
      </w:r>
    </w:p>
    <w:p w:rsidR="009E3707" w:rsidRDefault="009E3707" w:rsidP="009E37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Федорівський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ЗСО</w:t>
      </w:r>
      <w:r w:rsidRPr="00C15C19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Федорів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сільської ради</w:t>
      </w:r>
    </w:p>
    <w:p w:rsidR="009E3707" w:rsidRDefault="009E3707" w:rsidP="009E37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Новоселівський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ЗСО</w:t>
      </w:r>
      <w:r w:rsidRPr="00C15C19">
        <w:rPr>
          <w:rFonts w:ascii="Times New Roman" w:hAnsi="Times New Roman" w:cs="Times New Roman"/>
          <w:sz w:val="28"/>
          <w:szCs w:val="28"/>
          <w:lang w:val="uk-UA"/>
        </w:rPr>
        <w:t xml:space="preserve"> І-ІІІ ступенів Федорів</w:t>
      </w:r>
      <w:r>
        <w:rPr>
          <w:rFonts w:ascii="Times New Roman" w:hAnsi="Times New Roman" w:cs="Times New Roman"/>
          <w:sz w:val="28"/>
          <w:szCs w:val="28"/>
          <w:lang w:val="uk-UA"/>
        </w:rPr>
        <w:t>ської сільської ради</w:t>
      </w:r>
    </w:p>
    <w:p w:rsidR="009E3707" w:rsidRPr="00C15C19" w:rsidRDefault="009E3707" w:rsidP="009E370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E3707" w:rsidRPr="00BB158C" w:rsidRDefault="009E3707" w:rsidP="009E3707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B158C">
        <w:rPr>
          <w:rFonts w:ascii="Times New Roman" w:hAnsi="Times New Roman"/>
          <w:b/>
          <w:sz w:val="28"/>
          <w:szCs w:val="28"/>
          <w:lang w:val="uk-UA"/>
        </w:rPr>
        <w:t>2</w:t>
      </w:r>
      <w:r w:rsidR="00BB158C" w:rsidRPr="00BB158C">
        <w:rPr>
          <w:rFonts w:ascii="Times New Roman" w:hAnsi="Times New Roman"/>
          <w:b/>
          <w:sz w:val="28"/>
          <w:szCs w:val="28"/>
        </w:rPr>
        <w:t>.</w:t>
      </w:r>
      <w:r w:rsidR="00E671E9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  <w:r w:rsidR="00BB158C" w:rsidRPr="00BB158C">
        <w:rPr>
          <w:rFonts w:ascii="Times New Roman" w:hAnsi="Times New Roman"/>
          <w:b/>
          <w:sz w:val="28"/>
          <w:szCs w:val="28"/>
          <w:lang w:val="uk-UA"/>
        </w:rPr>
        <w:t xml:space="preserve"> соціально-економічного розвитку</w:t>
      </w:r>
    </w:p>
    <w:p w:rsidR="009E3707" w:rsidRPr="00BB158C" w:rsidRDefault="00BB158C" w:rsidP="00BB158C">
      <w:pPr>
        <w:pStyle w:val="a3"/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на 2021 рік</w:t>
      </w:r>
    </w:p>
    <w:p w:rsidR="009E3707" w:rsidRPr="00F510C5" w:rsidRDefault="009E3707" w:rsidP="009E3707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E671E9">
        <w:rPr>
          <w:rFonts w:ascii="Times New Roman" w:hAnsi="Times New Roman"/>
          <w:sz w:val="28"/>
          <w:szCs w:val="28"/>
          <w:lang w:val="uk-UA"/>
        </w:rPr>
        <w:t>Програма</w:t>
      </w:r>
      <w:r w:rsidRPr="00F510C5">
        <w:rPr>
          <w:rFonts w:ascii="Times New Roman" w:hAnsi="Times New Roman"/>
          <w:sz w:val="28"/>
          <w:szCs w:val="28"/>
          <w:lang w:val="uk-UA"/>
        </w:rPr>
        <w:t xml:space="preserve"> дозволить продовжити зростання економіки темпами, які забезпечили макроекономічну стабільність у сільській раді, досягти більш високої продуктивності праці, посилити конкурентоспроможність продукції. 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10C5">
        <w:rPr>
          <w:rFonts w:ascii="Times New Roman" w:hAnsi="Times New Roman"/>
          <w:b/>
          <w:sz w:val="28"/>
          <w:szCs w:val="28"/>
          <w:lang w:val="uk-UA"/>
        </w:rPr>
        <w:t>2.1 Соціальна сфера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 В соціальній сфері: 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- створення умов по підвищенню рівня життя населення; 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- забезпечення виконання соціальних програм, що фінансуються за рахунок бюджетів усіх рівнів; 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- збереження та оновлення існуючої соціальної інфраструктури </w:t>
      </w:r>
      <w:r w:rsidR="00F510C5" w:rsidRPr="00F510C5">
        <w:rPr>
          <w:rFonts w:ascii="Times New Roman" w:hAnsi="Times New Roman"/>
          <w:sz w:val="28"/>
          <w:szCs w:val="28"/>
          <w:lang w:val="uk-UA" w:eastAsia="uk-UA"/>
        </w:rPr>
        <w:t xml:space="preserve">Федорівської сільської </w:t>
      </w:r>
      <w:r w:rsidRPr="00F510C5">
        <w:rPr>
          <w:rFonts w:ascii="Times New Roman" w:hAnsi="Times New Roman"/>
          <w:sz w:val="28"/>
          <w:szCs w:val="28"/>
          <w:lang w:val="uk-UA" w:eastAsia="uk-UA"/>
        </w:rPr>
        <w:t>територіальної громади</w:t>
      </w:r>
      <w:r w:rsidRPr="00F510C5">
        <w:rPr>
          <w:rFonts w:ascii="Times New Roman" w:hAnsi="Times New Roman"/>
          <w:sz w:val="28"/>
          <w:szCs w:val="28"/>
          <w:lang w:val="uk-UA"/>
        </w:rPr>
        <w:t>;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 - підвищення зайнятості сільського населення; </w:t>
      </w: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E3707" w:rsidRPr="00F510C5" w:rsidRDefault="009E3707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10C5">
        <w:rPr>
          <w:rFonts w:ascii="Times New Roman" w:hAnsi="Times New Roman"/>
          <w:b/>
          <w:sz w:val="28"/>
          <w:szCs w:val="28"/>
          <w:lang w:val="uk-UA"/>
        </w:rPr>
        <w:t>1.2 Соціальна політика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1.1. Зайнятість населення та ринок праці. Аналіз динаміки та головні тенденції розвитку сфери діяльності.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Основні проблеми: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- працевлаштування неконкурентоспроможних верств населення (інвалідів, молоді, особливо випускників навчальних закладів);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>- нелегальна зайнятість і нелегальна трудова міграція;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 - низька ефективність залучення інвестицій, які не забезпечують розширення сфери використання праці у сільській місцевості.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Основні цілі: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>- збільшення чисельності зайнятого населення;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 - підтримка самостійної зайнятості населення;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- створення нових та легалізація існуючих робочих місць;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lastRenderedPageBreak/>
        <w:t xml:space="preserve">- сприяння у працевлаштуванні зареєстрованих безробітних.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Критерії досягнення цілей: </w:t>
      </w:r>
    </w:p>
    <w:p w:rsidR="009E3707" w:rsidRPr="00F510C5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8"/>
          <w:szCs w:val="28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 xml:space="preserve">- активізація процесу створення нових робочих місць в усіх сферах економічної діяльності; </w:t>
      </w:r>
    </w:p>
    <w:p w:rsidR="009E3707" w:rsidRPr="00A07BB0" w:rsidRDefault="009E3707" w:rsidP="00F510C5">
      <w:pPr>
        <w:shd w:val="clear" w:color="auto" w:fill="FFFFFF"/>
        <w:spacing w:after="0"/>
        <w:ind w:left="-567" w:firstLine="567"/>
        <w:rPr>
          <w:rFonts w:ascii="Times New Roman" w:hAnsi="Times New Roman"/>
          <w:sz w:val="24"/>
          <w:szCs w:val="24"/>
          <w:lang w:val="uk-UA"/>
        </w:rPr>
      </w:pPr>
      <w:r w:rsidRPr="00F510C5">
        <w:rPr>
          <w:rFonts w:ascii="Times New Roman" w:hAnsi="Times New Roman"/>
          <w:sz w:val="28"/>
          <w:szCs w:val="28"/>
          <w:lang w:val="uk-UA"/>
        </w:rPr>
        <w:t>- підвищення рівня взаємодії з центрами зайнятості та роботодавцями, що провадять свою діяльність на території сільської ради.</w:t>
      </w:r>
      <w:r w:rsidRPr="00A07BB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3707" w:rsidRPr="0088396F" w:rsidRDefault="0088396F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E3707"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.2. Соціальне забезпечення. </w:t>
      </w:r>
    </w:p>
    <w:p w:rsidR="00F510C5" w:rsidRPr="0088396F" w:rsidRDefault="00F510C5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Протягом 2021</w:t>
      </w:r>
      <w:r w:rsidR="009E3707"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року планується вирішення питань щодо поліпшення соціального обслуговування пенсіонерів та одиноких непрацездатних громадян територіальним центром</w:t>
      </w: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захисту населення.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Основні проблеми: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недостатній рівень адресності при наданні пільг окремим категоріям населення;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недосконала законодавча база для регулювання соціально-трудових відносин;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недостатній захист прав найманих працівників у недержавному секторі економіки.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Основні цілі: </w:t>
      </w:r>
    </w:p>
    <w:p w:rsidR="009E3707" w:rsidRPr="0088396F" w:rsidRDefault="00F510C5" w:rsidP="00F510C5">
      <w:pPr>
        <w:shd w:val="clear" w:color="auto" w:fill="FFFFFF"/>
        <w:spacing w:after="0"/>
        <w:ind w:left="-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E3707"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сприяння залученню благодійної допомоги для вирішення проблем найбільш незахищених верств населення.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Критерії досягнення цілей: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- вчасне виявлення соціально незахищених категорій громадян та проведення роз’яснювальної роботи щодо оформлення Державних соціальних допомог відповідно до чинного законодавства;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- постійне підвищення рівня обслуговування незахищених верств населення, що обліковуються в сільській раді;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всіляка підтримка первинних ветеранських організацій надання допомоги за рахунок спонсорських коштів та бюджетних коштів;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матеріальна допомога учасникам АТО та їх сім’ям за рахунок місцевого бюджету;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3707" w:rsidRPr="0088396F" w:rsidRDefault="00F510C5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b/>
          <w:sz w:val="28"/>
          <w:szCs w:val="28"/>
          <w:lang w:val="uk-UA"/>
        </w:rPr>
        <w:t>2.3</w:t>
      </w:r>
      <w:r w:rsidR="009E3707" w:rsidRPr="0088396F">
        <w:rPr>
          <w:rFonts w:ascii="Times New Roman" w:hAnsi="Times New Roman" w:cs="Times New Roman"/>
          <w:b/>
          <w:sz w:val="28"/>
          <w:szCs w:val="28"/>
          <w:lang w:val="uk-UA"/>
        </w:rPr>
        <w:t>.Освіта</w:t>
      </w:r>
    </w:p>
    <w:p w:rsidR="009E3707" w:rsidRPr="0088396F" w:rsidRDefault="009E3707" w:rsidP="0088396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Освітня галузь сільської ради представлена: 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 Загальноосвітні школи </w:t>
      </w:r>
      <w:r w:rsidR="00F510C5"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>– 2 од.,  268</w:t>
      </w: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учнів, </w:t>
      </w:r>
      <w:r w:rsidR="00F510C5"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>89 працівники (з них 56</w:t>
      </w: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вчителі);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="00F510C5"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Дитячі  навчальні  заклади – 2</w:t>
      </w: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од., </w:t>
      </w:r>
      <w:r w:rsidR="00F510C5"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>53</w:t>
      </w: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вихованців, </w:t>
      </w:r>
      <w:r w:rsidR="00F510C5"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>21,3 працівник (з них 7,3</w:t>
      </w:r>
      <w:r w:rsidRPr="00883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вихователів). 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В школах організовано роботу творчих груп, спортивних секцій, шкіл передового педагогічного досвіду. Педагогічні колективи шкіл забезпечують здоровий відпочинок своїх вихованців, ініціюючи максимальну участь дітей у походах, екскурсіях по рідному краю.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В школах і дошкільних навчальних закладах проведено поточні ремонти. Проведено відповідні заходи, щодо забезпечення відповідного теплового режиму приміщень в опалювальний період.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проблеми: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недостатні обсяги фінансування освітньої сфери, в першу чергу на оновлення матеріально-технічної бази навчальних закладів; 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Основні цілі: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впровадження сучасних інформаційних технологій у навчально-виховний процес державного стандарту початкової освіти;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виконання завдань соціального захисту дітей-сиріт та дітей, позбавлених батьківського піклування;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сприяння забезпеченості шкіл сільської ради педагогічними працівниками відповідної фахової підготовки;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- задоволення потреби громади у дошкільних закладах;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організація відповідних умов для забезпечення навчального процесу;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Критерії досягнення цілей: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формування та впровадження духовних орієнтирів позашкільної освіти;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організація харчування дітей-сиріт та дітей, позбав</w:t>
      </w:r>
      <w:r w:rsidR="00511289" w:rsidRPr="0088396F">
        <w:rPr>
          <w:rFonts w:ascii="Times New Roman" w:hAnsi="Times New Roman" w:cs="Times New Roman"/>
          <w:sz w:val="28"/>
          <w:szCs w:val="28"/>
          <w:lang w:val="uk-UA"/>
        </w:rPr>
        <w:t>лених батьківського піклування.</w:t>
      </w:r>
    </w:p>
    <w:p w:rsidR="009E3707" w:rsidRPr="0088396F" w:rsidRDefault="00511289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b/>
          <w:sz w:val="28"/>
          <w:szCs w:val="28"/>
          <w:lang w:val="uk-UA"/>
        </w:rPr>
        <w:t>2.4</w:t>
      </w:r>
      <w:r w:rsidR="009E3707" w:rsidRPr="0088396F">
        <w:rPr>
          <w:rFonts w:ascii="Times New Roman" w:hAnsi="Times New Roman" w:cs="Times New Roman"/>
          <w:b/>
          <w:sz w:val="28"/>
          <w:szCs w:val="28"/>
          <w:lang w:val="uk-UA"/>
        </w:rPr>
        <w:t>. Культура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Процес розвитку української нації, її духовного відродження, традицій, мови значною мірою залежить від ефективності роботи закладів культури, які спрямовують свою діяльність на збереження та розвиток культурної спадщини, зміцнення матеріально-технічної бази, збереження існуючих та облаштування нових меморіалів, пам’яток, пам’ятних місць.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проблеми: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недостатній рівень фінансування галузі;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зношеність основних фондів закладів культури.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Основні цілі: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Виходячи з необхідності збільшення духовно-і</w:t>
      </w:r>
      <w:r w:rsidR="00511289" w:rsidRPr="0088396F">
        <w:rPr>
          <w:rFonts w:ascii="Times New Roman" w:hAnsi="Times New Roman" w:cs="Times New Roman"/>
          <w:sz w:val="28"/>
          <w:szCs w:val="28"/>
          <w:lang w:val="uk-UA"/>
        </w:rPr>
        <w:t>нтелектуального потенціалу у 2021-2023</w:t>
      </w: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роках передбачається забезпечити: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історико-культурної спадщини;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організацію повноцінної діяльності творчого потенціалу галузі;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покращення матеріально-технічної бази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та примноження культурного надбання,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належні умови для творчого розвитку особистості, підвищення культурного рівня та естетичного виховання мешканців громади.</w:t>
      </w:r>
    </w:p>
    <w:p w:rsidR="009E3707" w:rsidRPr="0088396F" w:rsidRDefault="00511289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b/>
          <w:sz w:val="28"/>
          <w:szCs w:val="28"/>
          <w:lang w:val="uk-UA"/>
        </w:rPr>
        <w:t>2.5</w:t>
      </w:r>
      <w:r w:rsidR="009E3707" w:rsidRPr="0088396F">
        <w:rPr>
          <w:rFonts w:ascii="Times New Roman" w:hAnsi="Times New Roman" w:cs="Times New Roman"/>
          <w:b/>
          <w:sz w:val="28"/>
          <w:szCs w:val="28"/>
          <w:lang w:val="uk-UA"/>
        </w:rPr>
        <w:t>. Фізичне виховання і спорт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На території сіль</w:t>
      </w:r>
      <w:r w:rsidR="00511289" w:rsidRPr="0088396F">
        <w:rPr>
          <w:rFonts w:ascii="Times New Roman" w:hAnsi="Times New Roman" w:cs="Times New Roman"/>
          <w:sz w:val="28"/>
          <w:szCs w:val="28"/>
          <w:lang w:val="uk-UA"/>
        </w:rPr>
        <w:t>ської ради функціонують</w:t>
      </w: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спортивні майданчики, спортивні зали. Цей потенціал може бути використано з метою культивування здорового способу життя та розвитку фізичного розвитку молоді громади під час проведення сільських змагань присвячених, наприклад, Дню села або Дню молоді. </w:t>
      </w:r>
      <w:r w:rsidRPr="0088396F">
        <w:rPr>
          <w:rFonts w:ascii="Times New Roman" w:hAnsi="Times New Roman" w:cs="Times New Roman"/>
          <w:sz w:val="28"/>
          <w:szCs w:val="28"/>
          <w:lang w:val="uk-UA"/>
        </w:rPr>
        <w:lastRenderedPageBreak/>
        <w:t>Функціонування цих об’єктів допомагає правильній організації дозвілля всіх верств та вікових груп населення.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 Основні проблеми: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обмеженість обсягів фінансування сфери фізичної культури і спорту.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Основні цілі: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забезпечення належних умов для розвитку спорту в сільській місцевості;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збільшення кількості дітей та підлітків, залучених до занять у секціях; </w:t>
      </w:r>
    </w:p>
    <w:p w:rsidR="009E3707" w:rsidRPr="0088396F" w:rsidRDefault="00511289" w:rsidP="009E3707">
      <w:pPr>
        <w:shd w:val="clear" w:color="auto" w:fill="FFFFFF"/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E3707" w:rsidRPr="008839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88396F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E3707" w:rsidRPr="0088396F">
        <w:rPr>
          <w:rFonts w:ascii="Times New Roman" w:hAnsi="Times New Roman" w:cs="Times New Roman"/>
          <w:b/>
          <w:sz w:val="28"/>
          <w:szCs w:val="28"/>
          <w:lang w:val="uk-UA"/>
        </w:rPr>
        <w:t>. Молодіжна політика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Молодіжна політика реалізовує державну політику стосовно дітей, молоді, сім’ї та жінок на своїй території, залучення молоді до участі у громадському житті, впровадження нових форм виховання дітей-сиріт та дітей, позбавлених батьківського піклування.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З метою впровадження нових форм виховання дітей-сиріт та дітей, позбавлених батьківського піклування, в сільській раді ведеться робота щодо поповнення банку даних громадян та сімей, які готові взяти на виховання дітей. Значна увага приділяється оздоровленню дітей та підлітків.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проблеми: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недостатнє забезпечення матеріально-технічної бази для позашкільної роботи та гуртків;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працевлаштування на селі молоді.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Основні цілі: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розвиток та підтримка молодіжного підприємства, забезпечення прав та гарантій молоді на ринку праці; </w:t>
      </w:r>
    </w:p>
    <w:p w:rsidR="009E3707" w:rsidRPr="0088396F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 xml:space="preserve">- всебічна підтримка обдарованих дітей та молоді; </w:t>
      </w:r>
    </w:p>
    <w:p w:rsidR="009E3707" w:rsidRPr="00A07BB0" w:rsidRDefault="009E3707" w:rsidP="009E3707">
      <w:pPr>
        <w:shd w:val="clear" w:color="auto" w:fill="FFFFFF"/>
        <w:spacing w:after="0"/>
        <w:ind w:left="-567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8396F">
        <w:rPr>
          <w:rFonts w:ascii="Times New Roman" w:hAnsi="Times New Roman" w:cs="Times New Roman"/>
          <w:sz w:val="28"/>
          <w:szCs w:val="28"/>
          <w:lang w:val="uk-UA"/>
        </w:rPr>
        <w:t>- активізація роботи щодо впровадження нових форм виховання дітей-сиріт та дітей, позбавлених батьківського піклування.</w:t>
      </w:r>
      <w:r w:rsidRPr="00A07BB0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9E3707" w:rsidRDefault="009E3707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3707" w:rsidRDefault="009E3707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671E9" w:rsidRDefault="00E671E9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671E9" w:rsidRDefault="00E671E9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671E9" w:rsidRDefault="00E671E9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671E9" w:rsidRPr="00E671E9" w:rsidRDefault="00E671E9" w:rsidP="00E671E9">
      <w:pPr>
        <w:widowControl w:val="0"/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71E9">
        <w:rPr>
          <w:rFonts w:ascii="Times New Roman" w:eastAsia="Calibri" w:hAnsi="Times New Roman" w:cs="Times New Roman"/>
          <w:sz w:val="28"/>
          <w:szCs w:val="28"/>
          <w:lang w:val="uk-UA"/>
        </w:rPr>
        <w:t>В громаді забезпечується співпраця з громадськістю шляхом проведення консультацій з актуальних питань місцевого самоврядування та регіонального розвитку, залучення до розроблення нормативно-правових документів, участі в роботі консультативно-дорадчих органів, сприяння в проведенні ними заходів та підтримки їх ініціатив.</w:t>
      </w:r>
    </w:p>
    <w:p w:rsidR="00E671E9" w:rsidRPr="00E671E9" w:rsidRDefault="00E671E9" w:rsidP="00E671E9">
      <w:pPr>
        <w:widowControl w:val="0"/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Об’єднання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громадян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залуча</w:t>
      </w:r>
      <w:r w:rsidRPr="00E671E9">
        <w:rPr>
          <w:rFonts w:ascii="Times New Roman" w:eastAsia="Calibri" w:hAnsi="Times New Roman" w:cs="Times New Roman"/>
          <w:sz w:val="28"/>
          <w:szCs w:val="28"/>
          <w:lang w:val="uk-UA"/>
        </w:rPr>
        <w:t>ються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організації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заходів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відзначення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громаді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державних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свят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пам’ятних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дат,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заходів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військово-патріотичного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виховання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671E9" w:rsidRPr="00E671E9" w:rsidRDefault="002112A1" w:rsidP="00E671E9">
      <w:pPr>
        <w:widowControl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Сільською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радою у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взаємодії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громадськістю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проводяться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заходи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інформаційно-</w:t>
      </w:r>
      <w:proofErr w:type="gram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роз’яснювальної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proofErr w:type="gram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актуальних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питань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="00E671E9" w:rsidRPr="00E67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71E9" w:rsidRPr="00E671E9" w:rsidRDefault="00E671E9" w:rsidP="00E671E9">
      <w:pPr>
        <w:widowControl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71E9">
        <w:rPr>
          <w:rFonts w:ascii="Times New Roman" w:eastAsia="Calibri" w:hAnsi="Times New Roman" w:cs="Times New Roman"/>
          <w:sz w:val="28"/>
          <w:szCs w:val="28"/>
          <w:lang w:val="uk-UA"/>
        </w:rPr>
        <w:t>Але</w:t>
      </w:r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залишається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низька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активність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представників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та, як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lastRenderedPageBreak/>
        <w:t>наслідок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недостатній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рівень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якісної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взаємодії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громадою та органом 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71E9" w:rsidRPr="00E671E9" w:rsidRDefault="002112A1" w:rsidP="00E671E9">
      <w:pPr>
        <w:widowControl w:val="0"/>
        <w:spacing w:after="0" w:line="317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 метою сприяння у 2021</w:t>
      </w:r>
      <w:r w:rsidR="00E671E9" w:rsidRPr="00E671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подальшому розвитку громадянського суспільства, забезпечення зворотного зв’язку, діалогу та взаємодії між громадськими організаціями та органами місцевого самоврядування, консолідації суспільства в питаннях розвитку громади визначені наступні завдання:</w:t>
      </w:r>
    </w:p>
    <w:p w:rsidR="00E671E9" w:rsidRPr="00E671E9" w:rsidRDefault="00E671E9" w:rsidP="00E671E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залучення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громадськості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процесів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державного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регіонального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71E9" w:rsidRPr="00E671E9" w:rsidRDefault="00E671E9" w:rsidP="00E671E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підтримка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популяризація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ініціатив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проектів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інститутів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громадянського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суспільства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71E9" w:rsidRPr="00E671E9" w:rsidRDefault="00E671E9" w:rsidP="00E671E9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публічних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інформаційних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заходів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щодо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регіональної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71E9" w:rsidRPr="00E671E9" w:rsidRDefault="00E671E9" w:rsidP="00E671E9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71E9" w:rsidRPr="00E671E9" w:rsidRDefault="00E671E9" w:rsidP="00E671E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Реалізація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зазначених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дозволить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забезпечити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активізацію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участі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громадськості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процесах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реалізації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державної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політики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налагодження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конструктивної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взаємодії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зворотного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зв’язку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між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органом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місцевого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самоврядування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представниками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різних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інститутів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громадянського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суспільства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консолідацію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громадськості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навколо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ідеї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розбудови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71E9">
        <w:rPr>
          <w:rFonts w:ascii="Times New Roman" w:eastAsia="Calibri" w:hAnsi="Times New Roman" w:cs="Times New Roman"/>
          <w:sz w:val="28"/>
          <w:szCs w:val="28"/>
        </w:rPr>
        <w:t>громади</w:t>
      </w:r>
      <w:proofErr w:type="spellEnd"/>
      <w:r w:rsidRPr="00E67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71E9" w:rsidRPr="00E671E9" w:rsidRDefault="00E671E9" w:rsidP="00E671E9">
      <w:pPr>
        <w:widowControl w:val="0"/>
        <w:tabs>
          <w:tab w:val="left" w:pos="-3402"/>
          <w:tab w:val="left" w:pos="-25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671E9" w:rsidRPr="00E671E9" w:rsidRDefault="00E671E9" w:rsidP="00E671E9">
      <w:pPr>
        <w:widowControl w:val="0"/>
        <w:tabs>
          <w:tab w:val="left" w:pos="-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E671E9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ІV. Контроль за виконанням Програми</w:t>
      </w:r>
    </w:p>
    <w:p w:rsidR="00E671E9" w:rsidRPr="00E671E9" w:rsidRDefault="00E671E9" w:rsidP="00E671E9">
      <w:pPr>
        <w:widowControl w:val="0"/>
        <w:tabs>
          <w:tab w:val="left" w:pos="-3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E671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Головною метою контролю за виконанням Програми є подальше вдосконалення ді</w:t>
      </w:r>
      <w:r w:rsidR="002112A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яльності Федорівської сільської</w:t>
      </w:r>
      <w:r w:rsidRPr="00E671E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 спрямованої на виконання завдань Президента України, Кабінету Міністрів України, поліпшення якості прийняття рішень, застосування ефективних діючих та розроблення нових інструментів державного управління для подальшого соціально-економічного розвитку громади. </w:t>
      </w:r>
    </w:p>
    <w:p w:rsidR="00E671E9" w:rsidRPr="00E671E9" w:rsidRDefault="002112A1" w:rsidP="00E671E9">
      <w:pPr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сільської ради за погодженням з сільською</w:t>
      </w:r>
      <w:r w:rsidR="00E671E9"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радою визначає першочерговість виконання заходів з урахуванням пріоритетних напрямків Програми та вирішення проблемних питань соціально-економічного та культурного розвитку. Відповідальність за цільове використання бюджетних коштів на виконання заходів Програми несуть головні розпорядники бюджетних коштів.</w:t>
      </w:r>
    </w:p>
    <w:p w:rsidR="00E671E9" w:rsidRPr="00E671E9" w:rsidRDefault="00E671E9" w:rsidP="00E671E9">
      <w:pPr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процесі виконання Програма може </w:t>
      </w:r>
      <w:proofErr w:type="spellStart"/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уточнюватись</w:t>
      </w:r>
      <w:proofErr w:type="spellEnd"/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коригуватись на підстав</w:t>
      </w:r>
      <w:r w:rsidR="00211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рішень Федорівської сільської</w:t>
      </w:r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для врахування нових соціально-економічних процесів, що відбуватимуться в економіці на т</w:t>
      </w:r>
      <w:r w:rsidR="00211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ериторії Федорівської сільської</w:t>
      </w:r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територіальної громади, а також пр</w:t>
      </w:r>
      <w:r w:rsidR="00211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внесенні змін бюджету на 2021</w:t>
      </w:r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E671E9" w:rsidRPr="00E671E9" w:rsidRDefault="00E671E9" w:rsidP="00E671E9">
      <w:pPr>
        <w:spacing w:after="0" w:line="240" w:lineRule="auto"/>
        <w:ind w:right="11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 та доповнення до Програми затверджуються рішенням </w:t>
      </w:r>
      <w:r w:rsidR="002112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 сільської</w:t>
      </w:r>
      <w:r w:rsidRPr="00E6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ради.</w:t>
      </w:r>
    </w:p>
    <w:p w:rsidR="009E3707" w:rsidRDefault="009E3707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3707" w:rsidRDefault="009E3707" w:rsidP="009E3707">
      <w:pPr>
        <w:pStyle w:val="a3"/>
        <w:spacing w:after="0"/>
        <w:ind w:left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A2D46" w:rsidRDefault="002A2D46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112A1" w:rsidRDefault="002112A1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</w:t>
      </w: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B47DC0" w:rsidRDefault="002B20A2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 «Соціально-економічного</w:t>
      </w: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47DC0" w:rsidRDefault="00B47DC0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та культурного </w:t>
      </w:r>
      <w:r w:rsidR="002B2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</w:t>
      </w:r>
      <w:proofErr w:type="spellStart"/>
      <w:r w:rsidR="002B20A2"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="002B20A2"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:rsidR="002B20A2" w:rsidRPr="00381E1C" w:rsidRDefault="00B47DC0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сільської ради»</w:t>
      </w:r>
      <w:r w:rsidR="002B20A2"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2021 рік</w:t>
      </w: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А Х О Д И</w:t>
      </w: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 «Фінансове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соціально-економічного </w:t>
      </w:r>
      <w:r w:rsidR="00B47D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культурного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</w:t>
      </w:r>
      <w:proofErr w:type="spellStart"/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 на 2021 рік </w:t>
      </w: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6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229"/>
        <w:gridCol w:w="2551"/>
      </w:tblGrid>
      <w:tr w:rsidR="002B20A2" w:rsidRPr="00381E1C" w:rsidTr="00FF0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заходів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Сума,</w:t>
            </w:r>
          </w:p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</w:tr>
      <w:tr w:rsidR="002B20A2" w:rsidRPr="00381E1C" w:rsidTr="00FF05D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Електроенергія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ФАП і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Федорівська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амбулаторія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68800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105999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Асоціація ОТГ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Придбання матеріалів сільська рада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235193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електроенергія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138630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Навчання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2000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відрядження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9928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1000</w:t>
            </w:r>
          </w:p>
        </w:tc>
      </w:tr>
      <w:tr w:rsidR="002B20A2" w:rsidRPr="00381E1C" w:rsidTr="00FF05D3">
        <w:trPr>
          <w:trHeight w:val="4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A2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2B20A2" w:rsidRPr="00381E1C" w:rsidTr="00FF05D3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20A2" w:rsidRPr="00381E1C" w:rsidRDefault="002B20A2" w:rsidP="00FF05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573550</w:t>
            </w:r>
          </w:p>
        </w:tc>
      </w:tr>
    </w:tbl>
    <w:p w:rsidR="002B20A2" w:rsidRPr="00381E1C" w:rsidRDefault="002B20A2" w:rsidP="002B20A2">
      <w:pPr>
        <w:widowControl w:val="0"/>
        <w:tabs>
          <w:tab w:val="left" w:pos="68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0A2" w:rsidRPr="00381E1C" w:rsidRDefault="002B20A2" w:rsidP="002B20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20A2" w:rsidRPr="00381E1C" w:rsidRDefault="00AE3913" w:rsidP="002B20A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Діловод загального</w:t>
      </w:r>
      <w:r w:rsidR="002B20A2" w:rsidRPr="00381E1C">
        <w:rPr>
          <w:rFonts w:ascii="Times New Roman" w:hAnsi="Times New Roman" w:cs="Times New Roman"/>
          <w:sz w:val="28"/>
          <w:szCs w:val="28"/>
          <w:lang w:val="uk-UA"/>
        </w:rPr>
        <w:t xml:space="preserve"> відділу                                 Тетяна  ШЕЧКОВА            </w:t>
      </w:r>
    </w:p>
    <w:p w:rsidR="00FB304A" w:rsidRDefault="00FB304A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Default="00CE387C"/>
    <w:p w:rsidR="00CE387C" w:rsidRPr="00381E1C" w:rsidRDefault="006A6635" w:rsidP="00CE3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</w:t>
      </w:r>
      <w:r w:rsidR="00CE387C"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BF5A4C" w:rsidRDefault="00CE387C" w:rsidP="00CE3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F5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«Фінансове забезпечення </w:t>
      </w:r>
    </w:p>
    <w:p w:rsidR="00CE387C" w:rsidRPr="00381E1C" w:rsidRDefault="00BF5A4C" w:rsidP="00CE3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с</w:t>
      </w:r>
      <w:r w:rsidR="00CE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оціально-економічного</w:t>
      </w:r>
      <w:r w:rsidR="00CE387C"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E387C" w:rsidRPr="0038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</w:t>
      </w:r>
    </w:p>
    <w:p w:rsidR="00CE387C" w:rsidRPr="00381E1C" w:rsidRDefault="00CE387C" w:rsidP="00CE3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F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F5A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proofErr w:type="spellStart"/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 </w:t>
      </w:r>
    </w:p>
    <w:p w:rsidR="00CE387C" w:rsidRPr="00381E1C" w:rsidRDefault="00CE387C" w:rsidP="00CE3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на 2021 рік</w:t>
      </w:r>
    </w:p>
    <w:p w:rsidR="00CE387C" w:rsidRPr="00381E1C" w:rsidRDefault="00CE387C" w:rsidP="00CE38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387C" w:rsidRPr="00381E1C" w:rsidRDefault="00CE387C" w:rsidP="00CE38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А Х О Д И</w:t>
      </w:r>
    </w:p>
    <w:p w:rsidR="00CE387C" w:rsidRPr="00920B23" w:rsidRDefault="00CE387C" w:rsidP="00920B2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Програми  «Фінансове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соціально-економічного розвитку </w:t>
      </w:r>
      <w:proofErr w:type="spellStart"/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proofErr w:type="spellEnd"/>
      <w:r w:rsidRPr="00381E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 на 2021 рік </w:t>
      </w:r>
    </w:p>
    <w:tbl>
      <w:tblPr>
        <w:tblW w:w="106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851"/>
        <w:gridCol w:w="850"/>
        <w:gridCol w:w="1418"/>
        <w:gridCol w:w="1276"/>
        <w:gridCol w:w="991"/>
      </w:tblGrid>
      <w:tr w:rsidR="007B3EA5" w:rsidRPr="00381E1C" w:rsidTr="00AB0A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 заходів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6A6635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</w:t>
            </w: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</w:p>
          <w:p w:rsidR="007B3EA5" w:rsidRPr="006A6635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фонд</w:t>
            </w:r>
          </w:p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Спеціальний фонд</w:t>
            </w:r>
          </w:p>
        </w:tc>
      </w:tr>
      <w:tr w:rsidR="007B3EA5" w:rsidRPr="007B3EA5" w:rsidTr="00AB0AB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Організаційне, інформаційно-аналітичне та матеріально-технічне забезпечення діяльності сільської ради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7B3EA5" w:rsidRPr="006A6635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5345658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DC0" w:rsidRDefault="00B47D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B0AB2" w:rsidRDefault="00AB0AB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5345658</w:t>
            </w:r>
          </w:p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Керівництво і управління у відповідній сфері у селах територіальної громади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286660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286660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BB1E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Надання дошкільної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CE38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7B3EA5" w:rsidP="00BB1E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2705287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2705287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льної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середньої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закладами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загальної середньої освіти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12616928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12586</w:t>
            </w:r>
            <w:r w:rsidR="00BB22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30203</w:t>
            </w: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Утримання закладів. Що надають соціальні послуги дітям, які опинились у складних життєвих обставинах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139080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139080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діяльності інших закладів у сфері соціального захисту і соціального забезпече</w:t>
            </w:r>
            <w:r w:rsidR="006A663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732000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732000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діяльності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бібліотек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208741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208741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Забезпечення діяльності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будинків культури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1338175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AB0AB2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1338175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Членські внески до асоціацій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7680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A663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Резервний фонд місцевого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P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28203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28203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A6635" w:rsidRPr="00381E1C" w:rsidTr="00AB0AB2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Субвенції з місцевого бюджету (оплата енергоносіїв)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9770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P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A66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68800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35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B3EA5" w:rsidRPr="00381E1C" w:rsidTr="00AB0AB2"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381E1C" w:rsidRDefault="007B3EA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81E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EA5" w:rsidRPr="00381E1C" w:rsidRDefault="00BB228F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23481532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BB228F" w:rsidP="00B47D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23451329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A5" w:rsidRPr="00381E1C" w:rsidRDefault="006A6635" w:rsidP="007B3E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30203</w:t>
            </w:r>
          </w:p>
        </w:tc>
      </w:tr>
    </w:tbl>
    <w:p w:rsidR="00920B23" w:rsidRDefault="00920B23" w:rsidP="00CE387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E387C" w:rsidRPr="00381E1C" w:rsidRDefault="00AE3913" w:rsidP="00CE387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/>
        </w:rPr>
        <w:t xml:space="preserve">Діловод загального </w:t>
      </w:r>
      <w:r w:rsidR="00CE387C" w:rsidRPr="00381E1C">
        <w:rPr>
          <w:rFonts w:ascii="Times New Roman" w:hAnsi="Times New Roman" w:cs="Times New Roman"/>
          <w:sz w:val="28"/>
          <w:szCs w:val="28"/>
          <w:lang w:val="uk-UA"/>
        </w:rPr>
        <w:t xml:space="preserve"> відділу                                 Тетяна  ШЕЧКОВА            </w:t>
      </w:r>
    </w:p>
    <w:p w:rsidR="00CE387C" w:rsidRDefault="00CE387C" w:rsidP="00CE387C"/>
    <w:p w:rsidR="00CE387C" w:rsidRPr="00CE387C" w:rsidRDefault="00CE387C">
      <w:pPr>
        <w:rPr>
          <w:rFonts w:ascii="Times New Roman" w:hAnsi="Times New Roman" w:cs="Times New Roman"/>
          <w:sz w:val="28"/>
          <w:szCs w:val="28"/>
        </w:rPr>
      </w:pPr>
    </w:p>
    <w:sectPr w:rsidR="00CE387C" w:rsidRPr="00CE3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2304"/>
    <w:multiLevelType w:val="hybridMultilevel"/>
    <w:tmpl w:val="F51E24AA"/>
    <w:lvl w:ilvl="0" w:tplc="96606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74463"/>
    <w:multiLevelType w:val="hybridMultilevel"/>
    <w:tmpl w:val="515245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84"/>
    <w:rsid w:val="002112A1"/>
    <w:rsid w:val="002A2D46"/>
    <w:rsid w:val="002B20A2"/>
    <w:rsid w:val="003D5BA5"/>
    <w:rsid w:val="00511289"/>
    <w:rsid w:val="006A6635"/>
    <w:rsid w:val="006B7A9F"/>
    <w:rsid w:val="007B3EA5"/>
    <w:rsid w:val="0088396F"/>
    <w:rsid w:val="008E2F84"/>
    <w:rsid w:val="00920B23"/>
    <w:rsid w:val="009E3707"/>
    <w:rsid w:val="00AB0AB2"/>
    <w:rsid w:val="00AE3913"/>
    <w:rsid w:val="00B47DC0"/>
    <w:rsid w:val="00BB158C"/>
    <w:rsid w:val="00BB228F"/>
    <w:rsid w:val="00BF5A4C"/>
    <w:rsid w:val="00CE387C"/>
    <w:rsid w:val="00E671E9"/>
    <w:rsid w:val="00F510C5"/>
    <w:rsid w:val="00FA33A4"/>
    <w:rsid w:val="00F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261F19"/>
  <w15:chartTrackingRefBased/>
  <w15:docId w15:val="{F1383BD9-3B15-4E56-822D-C8CF8743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E37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10</Pages>
  <Words>2530</Words>
  <Characters>14427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TG</cp:lastModifiedBy>
  <cp:revision>13</cp:revision>
  <dcterms:created xsi:type="dcterms:W3CDTF">2021-03-23T14:06:00Z</dcterms:created>
  <dcterms:modified xsi:type="dcterms:W3CDTF">2021-03-29T13:50:00Z</dcterms:modified>
</cp:coreProperties>
</file>