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EA" w:rsidRPr="00663651" w:rsidRDefault="00D35EEA" w:rsidP="00D35EEA">
      <w:pPr>
        <w:tabs>
          <w:tab w:val="center" w:pos="4819"/>
          <w:tab w:val="left" w:pos="5745"/>
        </w:tabs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                 </w:t>
      </w:r>
      <w:r w:rsidR="00663651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663651" w:rsidRPr="00663651" w:rsidRDefault="00663651" w:rsidP="00663651">
      <w:pPr>
        <w:tabs>
          <w:tab w:val="left" w:pos="8222"/>
        </w:tabs>
        <w:spacing w:after="0" w:line="240" w:lineRule="auto"/>
        <w:rPr>
          <w:rFonts w:ascii="Academy" w:eastAsia="Academy" w:hAnsi="Academy" w:cs="Academy"/>
          <w:sz w:val="32"/>
          <w:szCs w:val="20"/>
          <w:lang w:val="uk-UA" w:eastAsia="ru-RU"/>
        </w:rPr>
      </w:pPr>
      <w:r w:rsidRPr="006636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</w:t>
      </w:r>
      <w:r w:rsidRPr="006636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663651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25pt" o:ole="" o:preferrelative="t" stroked="f">
            <v:imagedata r:id="rId4" o:title=""/>
          </v:rect>
          <o:OLEObject Type="Embed" ProgID="StaticMetafile" ShapeID="_x0000_i1025" DrawAspect="Content" ObjectID="_1741456405" r:id="rId5"/>
        </w:object>
      </w:r>
    </w:p>
    <w:p w:rsidR="00663651" w:rsidRPr="00663651" w:rsidRDefault="00663651" w:rsidP="00663651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663651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663651" w:rsidRPr="00663651" w:rsidRDefault="00663651" w:rsidP="006636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63651" w:rsidRPr="00663651" w:rsidRDefault="00663651" w:rsidP="0066365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66365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66365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663651" w:rsidRPr="00663651" w:rsidRDefault="00663651" w:rsidP="00663651">
      <w:pPr>
        <w:spacing w:after="0" w:line="240" w:lineRule="auto"/>
        <w:ind w:right="283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66365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66365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66365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66365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663651" w:rsidRPr="00663651" w:rsidRDefault="00663651" w:rsidP="0066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восьмого скликання </w:t>
      </w:r>
    </w:p>
    <w:p w:rsidR="00663651" w:rsidRPr="00663651" w:rsidRDefault="00145E89" w:rsidP="0066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сімнадцята  </w:t>
      </w:r>
      <w:r w:rsidR="00663651" w:rsidRPr="00663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663651" w:rsidRPr="00663651" w:rsidRDefault="00663651" w:rsidP="006636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           </w:t>
      </w:r>
      <w:r w:rsidR="00DC1931">
        <w:rPr>
          <w:rFonts w:ascii="Times New Roman" w:eastAsia="Times New Roman" w:hAnsi="Times New Roman" w:cs="Times New Roman"/>
          <w:b/>
          <w:color w:val="5B9BD5"/>
          <w:spacing w:val="-7"/>
          <w:sz w:val="28"/>
          <w:szCs w:val="28"/>
          <w:lang w:val="uk-UA" w:eastAsia="ru-RU"/>
        </w:rPr>
        <w:t xml:space="preserve">        </w:t>
      </w:r>
      <w:r w:rsidRPr="00663651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  РІШЕННЯ </w:t>
      </w:r>
    </w:p>
    <w:p w:rsidR="00663651" w:rsidRPr="00DC1931" w:rsidRDefault="00663651" w:rsidP="00663651">
      <w:pPr>
        <w:spacing w:after="0" w:line="240" w:lineRule="auto"/>
        <w:rPr>
          <w:rFonts w:ascii="Times New Roman" w:eastAsia="Times New Roman" w:hAnsi="Times New Roman" w:cs="Times New Roman"/>
          <w:b/>
          <w:color w:val="5B9BD5"/>
          <w:spacing w:val="-7"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color w:val="5B9BD5"/>
          <w:spacing w:val="-7"/>
          <w:sz w:val="24"/>
          <w:szCs w:val="24"/>
          <w:lang w:val="uk-UA" w:eastAsia="ru-RU"/>
        </w:rPr>
        <w:t xml:space="preserve">                                 </w:t>
      </w:r>
      <w:r w:rsidR="00DC1931">
        <w:rPr>
          <w:rFonts w:ascii="Times New Roman" w:eastAsia="Times New Roman" w:hAnsi="Times New Roman" w:cs="Times New Roman"/>
          <w:color w:val="5B9BD5"/>
          <w:spacing w:val="-7"/>
          <w:sz w:val="24"/>
          <w:szCs w:val="24"/>
          <w:lang w:val="uk-UA" w:eastAsia="ru-RU"/>
        </w:rPr>
        <w:t xml:space="preserve">    </w:t>
      </w:r>
      <w:r w:rsidRPr="00663651">
        <w:rPr>
          <w:rFonts w:ascii="Calibri" w:eastAsia="Times New Roman" w:hAnsi="Calibri" w:cs="Times New Roman"/>
          <w:color w:val="5B9BD5"/>
          <w:sz w:val="24"/>
          <w:szCs w:val="24"/>
          <w:lang w:val="uk-UA" w:eastAsia="ru-RU"/>
        </w:rPr>
        <w:t xml:space="preserve">                                                       </w:t>
      </w:r>
      <w:r w:rsidR="00DC1931">
        <w:rPr>
          <w:rFonts w:ascii="Calibri" w:eastAsia="Times New Roman" w:hAnsi="Calibri" w:cs="Times New Roman"/>
          <w:color w:val="5B9BD5"/>
          <w:sz w:val="24"/>
          <w:szCs w:val="24"/>
          <w:lang w:val="uk-UA" w:eastAsia="ru-RU"/>
        </w:rPr>
        <w:t xml:space="preserve">                               </w:t>
      </w:r>
    </w:p>
    <w:p w:rsidR="00663651" w:rsidRPr="00663651" w:rsidRDefault="00DC1931" w:rsidP="006636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.03</w:t>
      </w:r>
      <w:r w:rsidR="00663651" w:rsidRP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2023</w:t>
      </w:r>
      <w:r w:rsidR="00663651" w:rsidRP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                       </w:t>
      </w:r>
      <w:r w:rsidR="00766D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  <w:r w:rsidR="00DC6D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="00766D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№ 2</w:t>
      </w:r>
    </w:p>
    <w:p w:rsidR="00663651" w:rsidRPr="00663651" w:rsidRDefault="00663651" w:rsidP="006636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</w:p>
    <w:p w:rsidR="00663651" w:rsidRPr="00663651" w:rsidRDefault="00663651" w:rsidP="006636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63651" w:rsidRPr="00663651" w:rsidRDefault="00663651" w:rsidP="006636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затвердження </w:t>
      </w:r>
      <w:r w:rsidRPr="00663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«Фінансової підтримки КП «Благоустрій» Федорівської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ради» на 2023 рік</w:t>
      </w:r>
    </w:p>
    <w:p w:rsidR="00663651" w:rsidRPr="00663651" w:rsidRDefault="00663651" w:rsidP="006636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3651" w:rsidRPr="00663651" w:rsidRDefault="00663651" w:rsidP="00663651">
      <w:pPr>
        <w:tabs>
          <w:tab w:val="left" w:pos="9639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636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  Відповідно до ст.143 Конституції України, ст. </w:t>
      </w:r>
      <w:r w:rsidRPr="006636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22, 85, 91 Бюджетного кодексу України,</w:t>
      </w:r>
      <w:r w:rsidRPr="006636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ст.11 Закону України «Про державне прогнозування та розроблення програм економічного і соціального розвитку України», ст.16,43 Закону України «Про місцеве самоврядування в Україні»</w:t>
      </w:r>
      <w:r w:rsidRPr="006636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6636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Федорівська сільська рада Пологівського району Запорізької області </w:t>
      </w:r>
    </w:p>
    <w:p w:rsidR="000A3EAF" w:rsidRDefault="00610779" w:rsidP="006107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  <w:r w:rsidR="00663651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вирішила</w:t>
      </w:r>
      <w:r w:rsidR="000A3EAF" w:rsidRPr="005C73DD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:</w:t>
      </w:r>
    </w:p>
    <w:p w:rsidR="005C73DD" w:rsidRPr="005C73DD" w:rsidRDefault="005C73DD" w:rsidP="00610779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0A3EAF" w:rsidRDefault="00663651" w:rsidP="000A3E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«Фінансової</w:t>
      </w:r>
      <w:r w:rsid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имки КП</w:t>
      </w:r>
      <w:r w:rsidR="000A3EAF"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«Благоустрій» Фед</w:t>
      </w:r>
      <w:r w:rsidR="0020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орівської</w:t>
      </w:r>
      <w:r w:rsidR="00D214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на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- Програма)</w:t>
      </w:r>
      <w:r w:rsidR="00C24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A3EAF"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додається.</w:t>
      </w:r>
    </w:p>
    <w:p w:rsidR="002049DA" w:rsidRPr="000A3EAF" w:rsidRDefault="002049DA" w:rsidP="000A3E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49DA" w:rsidRDefault="002049DA" w:rsidP="00610779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Фінансовому відділу Федорівської сільської ради Пологівського району Запорі</w:t>
      </w:r>
      <w:r w:rsidR="00610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зької області передбачити </w:t>
      </w:r>
      <w:r w:rsidR="00610779" w:rsidRPr="00610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видатки на фінансування заходів Програми в межах наявних фінансових ресурсів.</w:t>
      </w:r>
    </w:p>
    <w:p w:rsidR="00065DB8" w:rsidRDefault="00065DB8" w:rsidP="00610779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3651" w:rsidRPr="00663651" w:rsidRDefault="00663651" w:rsidP="00663651">
      <w:pPr>
        <w:widowControl w:val="0"/>
        <w:autoSpaceDE w:val="0"/>
        <w:autoSpaceDN w:val="0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663651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5C73DD" w:rsidRPr="00610779" w:rsidRDefault="005C73DD" w:rsidP="00610779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5DB8" w:rsidRDefault="00065DB8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766D69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Секретар сільської ради  </w:t>
      </w:r>
      <w:r w:rsidR="00192626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 xml:space="preserve">               Людмила  СТУС</w:t>
      </w: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D97C0E" w:rsidRDefault="00D97C0E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370A38" w:rsidRDefault="00663651" w:rsidP="00663651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sz w:val="24"/>
          <w:szCs w:val="20"/>
          <w:lang w:val="uk-UA" w:eastAsia="ru-RU"/>
        </w:rPr>
      </w:pPr>
      <w:r w:rsidRPr="00663651"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                                                                                                                 </w:t>
      </w:r>
    </w:p>
    <w:p w:rsidR="00DC1931" w:rsidRDefault="00370A38" w:rsidP="00663651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sz w:val="24"/>
          <w:szCs w:val="20"/>
          <w:lang w:val="uk-UA" w:eastAsia="ru-RU"/>
        </w:rPr>
      </w:pPr>
      <w:r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                                                                                                                 </w:t>
      </w:r>
      <w:r w:rsidR="00663651" w:rsidRPr="00663651"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  </w:t>
      </w:r>
    </w:p>
    <w:p w:rsidR="00663651" w:rsidRPr="00663651" w:rsidRDefault="00DC1931" w:rsidP="00663651">
      <w:pPr>
        <w:tabs>
          <w:tab w:val="left" w:pos="822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4"/>
          <w:szCs w:val="20"/>
          <w:lang w:val="uk-UA" w:eastAsia="ru-RU"/>
        </w:rPr>
        <w:lastRenderedPageBreak/>
        <w:t xml:space="preserve">                                                                                        </w:t>
      </w:r>
      <w:r w:rsidR="002D5CE9"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                            </w:t>
      </w:r>
      <w:r w:rsidR="00663651" w:rsidRPr="00663651"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</w:t>
      </w:r>
      <w:r w:rsidR="00663651" w:rsidRPr="00663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663651" w:rsidRPr="00663651" w:rsidRDefault="00663651" w:rsidP="00663651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рішенням      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663651" w:rsidRPr="00663651" w:rsidRDefault="002D5CE9" w:rsidP="006636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 15</w:t>
      </w:r>
      <w:r w:rsidR="00663651"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03.2023</w:t>
      </w:r>
      <w:r w:rsidR="00766D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№ 2</w:t>
      </w:r>
    </w:p>
    <w:p w:rsidR="002710CC" w:rsidRDefault="002710CC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7B67AE" w:rsidRDefault="007B67AE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Pr="00663651" w:rsidRDefault="00663651" w:rsidP="00663651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</w:t>
      </w:r>
      <w:r w:rsidR="0019262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</w:t>
      </w:r>
      <w:r w:rsidR="0019262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Фінансової підтримки КП «</w:t>
      </w:r>
      <w:r w:rsidRPr="00B01F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Благоустрій</w:t>
      </w:r>
      <w:r w:rsidR="00D214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 на 2023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 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192626" w:rsidRDefault="00192626" w:rsidP="00192626">
      <w:pPr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ОДЕРЖУВАЧ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Федорівська сільська рада Пологівського району Запорізької області</w:t>
      </w:r>
    </w:p>
    <w:p w:rsidR="00192626" w:rsidRDefault="00192626" w:rsidP="00192626">
      <w:p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рахунок коштів загального фонду та спеціального </w:t>
      </w:r>
    </w:p>
    <w:p w:rsidR="00192626" w:rsidRDefault="00192626" w:rsidP="0019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фонду (бюджету розвитку) місцевого бюджету</w:t>
      </w:r>
    </w:p>
    <w:p w:rsidR="00192626" w:rsidRDefault="00192626" w:rsidP="0019262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</w:t>
      </w:r>
    </w:p>
    <w:p w:rsidR="00192626" w:rsidRDefault="00192626" w:rsidP="0019262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1.Загальні положення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Комплексний благоустрій території громади, раціональне використання водних ресурсів, комплекс робіт з розчищення та озеленення території, а також соціально-економічних та екологічних заходів з покращення мікроклімату, санітарного очищення, зниження рівня забруднення довкілля та інше, що здійснюються на території населених пунктів з метою їх раціонального використання, належного утримання та охорони, створення умов щодо захисту і відновлення сприятливого для життєдіяльності людини довкілля. 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бригади благоустрою для забезпечення санітарних умов територій, роботи щодо відновлення, належного утримання та раціонального використання територій, охорони та організації упорядкування об’єктів благоустрою з урахуванням особливостей їх використання. Забезпечення експлуатації вуличного освітлення та системи водопостачання, підготовка до проведення культурно-масових заходів.</w:t>
      </w:r>
    </w:p>
    <w:p w:rsidR="00192626" w:rsidRDefault="00192626" w:rsidP="0019262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направлена на забезпечення життєдіяльності громади в цілому.</w:t>
      </w:r>
    </w:p>
    <w:p w:rsidR="00192626" w:rsidRDefault="00192626" w:rsidP="0019262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2. Технічний стан майна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Впродовж останніх років на території громади проведена значна робота у сфері благоустрою, що включає видатки на прибирання території, вивіз твердих побутових відходів, поточний ремонт та обслуговування системи водопостачання, поточний ремонт та обслуговування вуличного освітлення, оплату за використану електроенергію вуличним освітленням, а також роботи по ліквідації стихійних сміттєзвалищ, впорядкуванню територій кладовищ, боротьбу з карантинними бур‘янами, розчистку та прибирання снігу та інші роботи.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Для утримання вуличного освітлення в задовільному технічному стані необхідно проведення технічного обслуговування, заміни пошкоджених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освітлювальних приладів. Частина освітлювальних приладів потребує повної заміни. 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Для утримання системи водопостачання в задовільному технічному стані необхідно проведення технічного обслуговування, заміни частини аварійних  водопроводів, перевірки  обладнання, глибинних насосів, обслуговування реле, вимикачів, та інших приборів керування. </w:t>
      </w:r>
    </w:p>
    <w:p w:rsidR="00192626" w:rsidRDefault="00192626" w:rsidP="00192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3. Ціль програми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цілей розвитку визначено створення безпечного та комфортного середовища для проживання, що досягається шляхом забезпечення належного рівня благоустрою.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екологічного стану, естетичного вигляду населених пунктів громади, зелених насаджень, парків, та вулиць.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технічним аваріям в мережах, шафах керування та обліку вуличного освітлення. Забезпечення технологічного режиму експлуатації.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Постійне забезпечення  водою населення громади, запобігання технічним аваріям в мережах водопостачання, раціональне використання природних ресурсів  та обліку витрат. Забезпечення технологічного режиму експлуатації.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умов проживання населення до санітарних норм. Запобігання поширенню алергічних захворювань серед населення громади.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травматизму населення від падіння аварійних дерев.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 належний санітарний та культурний стан території. Покращення умов проживання мешканців. Виконання природоохоронних вимог чинного законодавства.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ліквідації аварійних дерев, стихійних сміттєзвалищ та снігових заметів в зимовий період залучення сторонніх організацій.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4. Очікуваний результат</w:t>
      </w:r>
    </w:p>
    <w:p w:rsidR="002049DA" w:rsidRDefault="002049DA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049DA" w:rsidRPr="002049DA" w:rsidRDefault="002049DA" w:rsidP="0020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Належне забезпечення населення громади, соціальної сфери, бюджетних установ  комунальними послугами, створення безпечних санітарних та екологічних умов проживання, виконання фінансових зобов’язань підприємства.</w:t>
      </w:r>
    </w:p>
    <w:p w:rsidR="002049DA" w:rsidRPr="002049DA" w:rsidRDefault="002049DA" w:rsidP="002049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2626" w:rsidRDefault="002049DA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фінансового відділу</w:t>
      </w:r>
      <w:r w:rsidR="0019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Тетяна ШЕЧКОВА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437F" w:rsidRDefault="00B0437F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049DA" w:rsidRDefault="00192626" w:rsidP="001926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66365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663651" w:rsidRPr="00663651" w:rsidRDefault="00663651" w:rsidP="00663651">
      <w:pPr>
        <w:tabs>
          <w:tab w:val="left" w:pos="822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3651">
        <w:rPr>
          <w:rFonts w:ascii="Calibri" w:eastAsia="Times New Roman" w:hAnsi="Calibri" w:cs="Times New Roman"/>
          <w:sz w:val="24"/>
          <w:szCs w:val="20"/>
          <w:lang w:val="uk-UA" w:eastAsia="ru-RU"/>
        </w:rPr>
        <w:t xml:space="preserve">                                                                                                                      </w:t>
      </w:r>
      <w:r w:rsidRPr="00663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663651" w:rsidRPr="00663651" w:rsidRDefault="00663651" w:rsidP="00663651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рішенням      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</w:p>
    <w:p w:rsidR="00663651" w:rsidRPr="00663651" w:rsidRDefault="00663651" w:rsidP="0066365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663651" w:rsidRPr="00663651" w:rsidRDefault="002D5CE9" w:rsidP="006636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15</w:t>
      </w:r>
      <w:r w:rsidR="00663651" w:rsidRP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6636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03.2023</w:t>
      </w:r>
      <w:r w:rsidR="00766D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№ 2</w:t>
      </w: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 А Х О Д И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Програми фінансової підтримки КП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Благоустрій»</w:t>
      </w:r>
      <w:r w:rsidR="00B01FA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 2023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рік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5203"/>
        <w:gridCol w:w="992"/>
        <w:gridCol w:w="992"/>
        <w:gridCol w:w="1979"/>
      </w:tblGrid>
      <w:tr w:rsidR="007B67AE" w:rsidRPr="007B67AE" w:rsidTr="000F5B2C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№</w:t>
            </w:r>
          </w:p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КФК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Сума,</w:t>
            </w:r>
          </w:p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грн.</w:t>
            </w:r>
          </w:p>
        </w:tc>
      </w:tr>
      <w:tr w:rsidR="007B67AE" w:rsidRPr="007B67AE" w:rsidTr="000F5B2C">
        <w:trPr>
          <w:trHeight w:val="314"/>
          <w:jc w:val="center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  <w:t xml:space="preserve">          За рахунок загального фонду місцевого бюджету</w:t>
            </w:r>
          </w:p>
        </w:tc>
      </w:tr>
      <w:tr w:rsidR="007B67AE" w:rsidRPr="007B67AE" w:rsidTr="000F5B2C">
        <w:trPr>
          <w:trHeight w:val="4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850A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Заробітна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2111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AE" w:rsidRPr="007B67AE" w:rsidRDefault="00BF12E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643</w:t>
            </w:r>
            <w:r w:rsidR="00D214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000</w:t>
            </w:r>
            <w:r w:rsidR="007B67AE"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,00</w:t>
            </w:r>
          </w:p>
        </w:tc>
      </w:tr>
      <w:tr w:rsidR="007B67AE" w:rsidRPr="007B67AE" w:rsidTr="000F5B2C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AE" w:rsidRPr="007B67AE" w:rsidRDefault="007B67AE" w:rsidP="00850A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Нарахування на оплату праці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  <w:t>2120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AE" w:rsidRPr="007B67AE" w:rsidRDefault="00BF12E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202</w:t>
            </w:r>
            <w:r w:rsidR="00D2145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000</w:t>
            </w:r>
            <w:r w:rsidR="007B67AE"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,00</w:t>
            </w:r>
          </w:p>
        </w:tc>
      </w:tr>
      <w:tr w:rsidR="007B67AE" w:rsidRPr="007B67AE" w:rsidTr="000F5B2C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 w:rsidRPr="007B67A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Всього по програмі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AE" w:rsidRPr="007B67AE" w:rsidRDefault="007B67A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7AE" w:rsidRPr="007B67AE" w:rsidRDefault="00BF12EE" w:rsidP="007B6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  <w:t>845</w:t>
            </w:r>
            <w:r w:rsidR="00D2145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  <w:t xml:space="preserve"> 000</w:t>
            </w:r>
            <w:r w:rsidR="007B67AE" w:rsidRPr="007B67A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 w:eastAsia="ru-RU"/>
              </w:rPr>
              <w:t>,00</w:t>
            </w:r>
          </w:p>
        </w:tc>
      </w:tr>
    </w:tbl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752A" w:rsidRDefault="005E752A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5E752A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фінансового </w:t>
      </w:r>
      <w:r w:rsidR="00D97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                                             </w:t>
      </w:r>
      <w:r w:rsidR="0019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ШЕЧКОВА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6635" w:rsidRPr="00AD3FDE" w:rsidRDefault="00AD3FDE">
      <w:pPr>
        <w:rPr>
          <w:lang w:val="uk-UA"/>
        </w:rPr>
      </w:pPr>
      <w:r>
        <w:rPr>
          <w:lang w:val="uk-UA"/>
        </w:rPr>
        <w:t xml:space="preserve"> т</w:t>
      </w:r>
    </w:p>
    <w:sectPr w:rsidR="007B6635" w:rsidRPr="00AD3FDE" w:rsidSect="0041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1E13"/>
    <w:rsid w:val="00021E13"/>
    <w:rsid w:val="00065DB8"/>
    <w:rsid w:val="000A3EAF"/>
    <w:rsid w:val="00145E89"/>
    <w:rsid w:val="00192626"/>
    <w:rsid w:val="002049DA"/>
    <w:rsid w:val="002710CC"/>
    <w:rsid w:val="0029165D"/>
    <w:rsid w:val="002D5CE9"/>
    <w:rsid w:val="003052AA"/>
    <w:rsid w:val="00363559"/>
    <w:rsid w:val="00370A38"/>
    <w:rsid w:val="00411AB1"/>
    <w:rsid w:val="0043031D"/>
    <w:rsid w:val="00516065"/>
    <w:rsid w:val="005C73DD"/>
    <w:rsid w:val="005E752A"/>
    <w:rsid w:val="0060790D"/>
    <w:rsid w:val="00610779"/>
    <w:rsid w:val="00621CB1"/>
    <w:rsid w:val="00663651"/>
    <w:rsid w:val="006756BA"/>
    <w:rsid w:val="00715A62"/>
    <w:rsid w:val="00766D69"/>
    <w:rsid w:val="007B6635"/>
    <w:rsid w:val="007B67AE"/>
    <w:rsid w:val="00850A77"/>
    <w:rsid w:val="00A0199D"/>
    <w:rsid w:val="00AA2E97"/>
    <w:rsid w:val="00AD3FDE"/>
    <w:rsid w:val="00B01FAA"/>
    <w:rsid w:val="00B0437F"/>
    <w:rsid w:val="00B7371C"/>
    <w:rsid w:val="00BF12EE"/>
    <w:rsid w:val="00C24F69"/>
    <w:rsid w:val="00D07911"/>
    <w:rsid w:val="00D2145B"/>
    <w:rsid w:val="00D35EEA"/>
    <w:rsid w:val="00D97C0E"/>
    <w:rsid w:val="00DC1931"/>
    <w:rsid w:val="00DC6D51"/>
    <w:rsid w:val="00F6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Пользователь</cp:lastModifiedBy>
  <cp:revision>2</cp:revision>
  <cp:lastPrinted>2023-03-20T06:15:00Z</cp:lastPrinted>
  <dcterms:created xsi:type="dcterms:W3CDTF">2023-03-27T18:07:00Z</dcterms:created>
  <dcterms:modified xsi:type="dcterms:W3CDTF">2023-03-27T18:07:00Z</dcterms:modified>
</cp:coreProperties>
</file>